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947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1. kolo slovenského pohára JIPAST v športovom aerobiku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Športový aerobik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gymnastických športov Slávia Trnava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14. 05. 2022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CGŠ Malinovo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Link:.................https://admin.gymaerobic.com..............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...9:30... o ......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_Bude otvorená ...8:30.... od ..9:30..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ŠA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ŠA-(Najmladšie žiactvo /NG/, Mladšie žiactvo /ND/, Staršie žiactvo / AG1/,)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5eur./každý štart, zaslať na účet , po obdržaní faktúry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14.05.2022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Program:</w:t>
                      <w:br/>
                      <w:t>8:30- 9:30- Registrácia</w:t>
                      <w:br/>
                      <w:t>8:00- 10:30- organizovaný tréning na ploche</w:t>
                      <w:br/>
                      <w:t>9:30- Porada trénerov a rozhodcov</w:t>
                      <w:br/>
                      <w:t>10:45- Preteky AG</w:t>
                      <w:br/>
                      <w:t>13:00- Vyhlásenie výsledkov AG</w:t>
                      <w:br/>
                      <w:t>14:00- Preteky NG, ND</w:t>
                      <w:br/>
                      <w:t>16:00 vyhlásenie výsledkov NG,ND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vložený do systému https://admin.gymaerobic.com online a tréneri sú povinný mať pri sebe nahrávku na USB v prípade technických problémov.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p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p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